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1199" w:type="dxa"/>
        <w:tblInd w:w="-1139" w:type="dxa"/>
        <w:tblLayout w:type="fixed"/>
        <w:tblLook w:val="04A0" w:firstRow="1" w:lastRow="0" w:firstColumn="1" w:lastColumn="0" w:noHBand="0" w:noVBand="1"/>
      </w:tblPr>
      <w:tblGrid>
        <w:gridCol w:w="11199"/>
      </w:tblGrid>
      <w:tr w:rsidR="00AE320C" w:rsidTr="002B09CE">
        <w:trPr>
          <w:trHeight w:val="4393"/>
        </w:trPr>
        <w:tc>
          <w:tcPr>
            <w:tcW w:w="11199" w:type="dxa"/>
            <w:tcBorders>
              <w:top w:val="single" w:sz="4" w:space="0" w:color="auto"/>
              <w:left w:val="single" w:sz="4" w:space="0" w:color="auto"/>
              <w:bottom w:val="single" w:sz="4" w:space="0" w:color="auto"/>
              <w:right w:val="single" w:sz="4" w:space="0" w:color="auto"/>
            </w:tcBorders>
          </w:tcPr>
          <w:p w:rsidR="00AE320C" w:rsidRDefault="00AE320C" w:rsidP="002B09CE">
            <w:pPr>
              <w:pStyle w:val="ConsPlusNormal"/>
              <w:jc w:val="both"/>
              <w:rPr>
                <w:sz w:val="28"/>
                <w:szCs w:val="28"/>
                <w:lang w:eastAsia="en-US"/>
              </w:rPr>
            </w:pPr>
          </w:p>
          <w:tbl>
            <w:tblPr>
              <w:tblStyle w:val="a3"/>
              <w:tblW w:w="11086" w:type="dxa"/>
              <w:tblLayout w:type="fixed"/>
              <w:tblLook w:val="04A0" w:firstRow="1" w:lastRow="0" w:firstColumn="1" w:lastColumn="0" w:noHBand="0" w:noVBand="1"/>
            </w:tblPr>
            <w:tblGrid>
              <w:gridCol w:w="4859"/>
              <w:gridCol w:w="6227"/>
            </w:tblGrid>
            <w:tr w:rsidR="00AE320C" w:rsidTr="002B09CE">
              <w:trPr>
                <w:trHeight w:val="3320"/>
              </w:trPr>
              <w:tc>
                <w:tcPr>
                  <w:tcW w:w="4859" w:type="dxa"/>
                  <w:tcBorders>
                    <w:top w:val="single" w:sz="4" w:space="0" w:color="auto"/>
                    <w:left w:val="single" w:sz="4" w:space="0" w:color="auto"/>
                    <w:bottom w:val="single" w:sz="4" w:space="0" w:color="auto"/>
                    <w:right w:val="single" w:sz="4" w:space="0" w:color="auto"/>
                  </w:tcBorders>
                  <w:hideMark/>
                </w:tcPr>
                <w:p w:rsidR="00AE320C" w:rsidRDefault="00AE320C" w:rsidP="002B09CE">
                  <w:pPr>
                    <w:pStyle w:val="ConsPlusNormal"/>
                    <w:tabs>
                      <w:tab w:val="left" w:pos="87"/>
                      <w:tab w:val="left" w:pos="3432"/>
                    </w:tabs>
                    <w:ind w:left="-234"/>
                    <w:jc w:val="center"/>
                    <w:rPr>
                      <w:sz w:val="28"/>
                      <w:szCs w:val="28"/>
                      <w:lang w:eastAsia="en-US"/>
                    </w:rPr>
                  </w:pPr>
                  <w:r>
                    <w:rPr>
                      <w:noProof/>
                    </w:rPr>
                    <w:drawing>
                      <wp:inline distT="0" distB="0" distL="0" distR="0" wp14:anchorId="1DEE79D2" wp14:editId="60C4276F">
                        <wp:extent cx="1798320" cy="1973580"/>
                        <wp:effectExtent l="0" t="0" r="0" b="7620"/>
                        <wp:docPr id="4" name="Рисунок 4" descr="https://fp-sk.ru/upload/medialibrary/10b/10bcf1192035a9fec67fa9fee2934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p-sk.ru/upload/medialibrary/10b/10bcf1192035a9fec67fa9fee2934339.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8320" cy="1973580"/>
                                </a:xfrm>
                                <a:prstGeom prst="rect">
                                  <a:avLst/>
                                </a:prstGeom>
                                <a:noFill/>
                                <a:ln>
                                  <a:noFill/>
                                </a:ln>
                              </pic:spPr>
                            </pic:pic>
                          </a:graphicData>
                        </a:graphic>
                      </wp:inline>
                    </w:drawing>
                  </w:r>
                  <w:r>
                    <w:rPr>
                      <w:noProof/>
                    </w:rPr>
                    <w:drawing>
                      <wp:inline distT="0" distB="0" distL="0" distR="0" wp14:anchorId="6029A55D" wp14:editId="38B9CB09">
                        <wp:extent cx="1036320" cy="1501140"/>
                        <wp:effectExtent l="0" t="0" r="0" b="3810"/>
                        <wp:docPr id="5" name="Рисунок 5" descr="https://sosh10.edu95.ru/index.php?component=download&amp;file=97b966d5135be7bee0f1a21412b21b809bb21f66f938535d4ac9685a18629974&amp;vi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osh10.edu95.ru/index.php?component=download&amp;file=97b966d5135be7bee0f1a21412b21b809bb21f66f938535d4ac9685a18629974&amp;view=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0713" cy="1565444"/>
                                </a:xfrm>
                                <a:prstGeom prst="rect">
                                  <a:avLst/>
                                </a:prstGeom>
                                <a:noFill/>
                                <a:ln>
                                  <a:noFill/>
                                </a:ln>
                              </pic:spPr>
                            </pic:pic>
                          </a:graphicData>
                        </a:graphic>
                      </wp:inline>
                    </w:drawing>
                  </w:r>
                  <w:r>
                    <w:rPr>
                      <w:sz w:val="28"/>
                      <w:szCs w:val="28"/>
                      <w:lang w:eastAsia="en-US"/>
                    </w:rPr>
                    <w:t>Правовая инспекция труда Профсоюза</w:t>
                  </w:r>
                </w:p>
              </w:tc>
              <w:tc>
                <w:tcPr>
                  <w:tcW w:w="6227" w:type="dxa"/>
                  <w:tcBorders>
                    <w:top w:val="single" w:sz="4" w:space="0" w:color="auto"/>
                    <w:left w:val="single" w:sz="4" w:space="0" w:color="auto"/>
                    <w:bottom w:val="single" w:sz="4" w:space="0" w:color="auto"/>
                    <w:right w:val="single" w:sz="4" w:space="0" w:color="auto"/>
                  </w:tcBorders>
                </w:tcPr>
                <w:p w:rsidR="00AE320C" w:rsidRDefault="00AE320C" w:rsidP="002B09CE">
                  <w:pPr>
                    <w:jc w:val="center"/>
                    <w:rPr>
                      <w:b/>
                      <w:sz w:val="28"/>
                      <w:szCs w:val="28"/>
                    </w:rPr>
                  </w:pPr>
                  <w:r>
                    <w:rPr>
                      <w:b/>
                      <w:sz w:val="28"/>
                      <w:szCs w:val="28"/>
                    </w:rPr>
                    <w:t xml:space="preserve">КАЛУЖСКАЯ ОБЛАСТНАЯ ОРГАНИЗАЦИЯ </w:t>
                  </w:r>
                </w:p>
                <w:p w:rsidR="00AE320C" w:rsidRPr="006355F5" w:rsidRDefault="00AE320C" w:rsidP="002B09CE">
                  <w:pPr>
                    <w:jc w:val="center"/>
                    <w:rPr>
                      <w:b/>
                      <w:szCs w:val="28"/>
                    </w:rPr>
                  </w:pPr>
                  <w:r>
                    <w:rPr>
                      <w:b/>
                      <w:szCs w:val="28"/>
                    </w:rPr>
                    <w:t>ОБЩЕРОССИЙСКОГО</w:t>
                  </w:r>
                  <w:r w:rsidRPr="002B36EE">
                    <w:rPr>
                      <w:b/>
                      <w:szCs w:val="28"/>
                    </w:rPr>
                    <w:t xml:space="preserve"> ПРОФСОЮЗ</w:t>
                  </w:r>
                  <w:r>
                    <w:rPr>
                      <w:b/>
                      <w:szCs w:val="28"/>
                    </w:rPr>
                    <w:t>А</w:t>
                  </w:r>
                  <w:r w:rsidRPr="002B36EE">
                    <w:rPr>
                      <w:b/>
                      <w:szCs w:val="28"/>
                    </w:rPr>
                    <w:t xml:space="preserve"> ОБРАЗОВАНИЯ</w:t>
                  </w:r>
                </w:p>
                <w:p w:rsidR="00AE320C" w:rsidRDefault="00AE320C" w:rsidP="002B09CE">
                  <w:pPr>
                    <w:pStyle w:val="ConsPlusTitle"/>
                    <w:jc w:val="center"/>
                  </w:pPr>
                </w:p>
                <w:p w:rsidR="00AE320C" w:rsidRDefault="00AE320C" w:rsidP="002B09CE">
                  <w:pPr>
                    <w:pStyle w:val="ConsPlusTitle"/>
                    <w:jc w:val="center"/>
                    <w:rPr>
                      <w:lang w:eastAsia="en-US"/>
                    </w:rPr>
                  </w:pPr>
                  <w:hyperlink r:id="rId6" w:history="1">
                    <w:r w:rsidRPr="00CE0C29">
                      <w:rPr>
                        <w:rStyle w:val="a4"/>
                        <w:color w:val="FF0000"/>
                        <w:sz w:val="28"/>
                        <w:szCs w:val="28"/>
                      </w:rPr>
                      <w:t>https://www.eseur.ru/kaluga/</w:t>
                    </w:r>
                  </w:hyperlink>
                </w:p>
                <w:p w:rsidR="00AE320C" w:rsidRDefault="00AE320C" w:rsidP="002B09CE">
                  <w:pPr>
                    <w:pStyle w:val="ConsPlusTitle"/>
                    <w:jc w:val="center"/>
                    <w:rPr>
                      <w:sz w:val="32"/>
                      <w:szCs w:val="32"/>
                      <w:lang w:eastAsia="en-US"/>
                    </w:rPr>
                  </w:pPr>
                </w:p>
                <w:p w:rsidR="00AE320C" w:rsidRDefault="00AE320C" w:rsidP="002B09CE">
                  <w:pPr>
                    <w:pStyle w:val="ConsPlusTitle"/>
                    <w:jc w:val="center"/>
                    <w:rPr>
                      <w:sz w:val="32"/>
                      <w:szCs w:val="32"/>
                      <w:lang w:eastAsia="en-US"/>
                    </w:rPr>
                  </w:pPr>
                  <w:r>
                    <w:rPr>
                      <w:sz w:val="32"/>
                      <w:szCs w:val="32"/>
                      <w:lang w:eastAsia="en-US"/>
                    </w:rPr>
                    <w:t>Информационный листок № 50.</w:t>
                  </w:r>
                </w:p>
                <w:p w:rsidR="00AE320C" w:rsidRDefault="00AE320C" w:rsidP="002B09CE">
                  <w:pPr>
                    <w:pStyle w:val="ConsPlusTitlePage"/>
                    <w:jc w:val="center"/>
                    <w:rPr>
                      <w:rFonts w:ascii="Times New Roman" w:hAnsi="Times New Roman" w:cs="Times New Roman"/>
                      <w:b/>
                      <w:bCs/>
                      <w:color w:val="FF0000"/>
                      <w:kern w:val="36"/>
                      <w:sz w:val="28"/>
                      <w:szCs w:val="28"/>
                    </w:rPr>
                  </w:pPr>
                </w:p>
                <w:p w:rsidR="00AE320C" w:rsidRPr="00F93B56" w:rsidRDefault="00AE320C" w:rsidP="002B09CE">
                  <w:pPr>
                    <w:pStyle w:val="Default"/>
                    <w:jc w:val="center"/>
                    <w:rPr>
                      <w:rFonts w:ascii="Times New Roman" w:hAnsi="Times New Roman" w:cs="Times New Roman"/>
                      <w:b/>
                      <w:bCs/>
                      <w:color w:val="ED7D31" w:themeColor="accent2"/>
                      <w:kern w:val="36"/>
                      <w:sz w:val="32"/>
                      <w:szCs w:val="32"/>
                    </w:rPr>
                  </w:pPr>
                  <w:r w:rsidRPr="00F93B56">
                    <w:rPr>
                      <w:b/>
                      <w:bCs/>
                      <w:color w:val="FF0000"/>
                      <w:sz w:val="32"/>
                      <w:szCs w:val="32"/>
                    </w:rPr>
                    <w:t>Как повысят пенсии в 2023 году?</w:t>
                  </w:r>
                </w:p>
              </w:tc>
            </w:tr>
          </w:tbl>
          <w:p w:rsidR="00AE320C" w:rsidRDefault="00AE320C" w:rsidP="002B09CE">
            <w:pPr>
              <w:pStyle w:val="ConsPlusNormal"/>
              <w:jc w:val="both"/>
              <w:rPr>
                <w:sz w:val="28"/>
                <w:szCs w:val="28"/>
                <w:lang w:eastAsia="en-US"/>
              </w:rPr>
            </w:pPr>
          </w:p>
        </w:tc>
      </w:tr>
      <w:tr w:rsidR="00AE320C" w:rsidTr="002B09CE">
        <w:tc>
          <w:tcPr>
            <w:tcW w:w="11199" w:type="dxa"/>
            <w:tcBorders>
              <w:top w:val="single" w:sz="4" w:space="0" w:color="auto"/>
              <w:left w:val="single" w:sz="4" w:space="0" w:color="auto"/>
              <w:bottom w:val="single" w:sz="4" w:space="0" w:color="auto"/>
              <w:right w:val="single" w:sz="4" w:space="0" w:color="auto"/>
            </w:tcBorders>
          </w:tcPr>
          <w:p w:rsidR="00AE320C" w:rsidRDefault="00AE320C" w:rsidP="002B09CE">
            <w:pPr>
              <w:pStyle w:val="Default"/>
              <w:rPr>
                <w:sz w:val="23"/>
                <w:szCs w:val="23"/>
              </w:rPr>
            </w:pPr>
            <w:r>
              <w:rPr>
                <w:b/>
                <w:bCs/>
                <w:sz w:val="23"/>
                <w:szCs w:val="23"/>
              </w:rPr>
              <w:t xml:space="preserve">АиФ, 09.12.2022. </w:t>
            </w:r>
          </w:p>
          <w:p w:rsidR="00AE320C" w:rsidRDefault="00AE320C" w:rsidP="002B09CE">
            <w:pPr>
              <w:pStyle w:val="Default"/>
              <w:rPr>
                <w:sz w:val="23"/>
                <w:szCs w:val="23"/>
              </w:rPr>
            </w:pPr>
            <w:r>
              <w:rPr>
                <w:b/>
                <w:bCs/>
                <w:sz w:val="23"/>
                <w:szCs w:val="23"/>
              </w:rPr>
              <w:t xml:space="preserve">К повышению страховой пенсии пенсионеров произведут и другие, помимо индексации, корректировки значений основных параметров. </w:t>
            </w:r>
          </w:p>
          <w:p w:rsidR="00AE320C" w:rsidRDefault="00AE320C" w:rsidP="002B09CE">
            <w:pPr>
              <w:pStyle w:val="Default"/>
              <w:rPr>
                <w:sz w:val="23"/>
                <w:szCs w:val="23"/>
              </w:rPr>
            </w:pPr>
            <w:r>
              <w:rPr>
                <w:sz w:val="23"/>
                <w:szCs w:val="23"/>
              </w:rPr>
              <w:t xml:space="preserve">- На 2023 год уже сформированы федеральный бюджет РФ и бюджет Социального фонда России, который с первого января заменит </w:t>
            </w:r>
            <w:r>
              <w:rPr>
                <w:b/>
                <w:bCs/>
                <w:sz w:val="23"/>
                <w:szCs w:val="23"/>
              </w:rPr>
              <w:t xml:space="preserve">ПФР </w:t>
            </w:r>
            <w:r>
              <w:rPr>
                <w:sz w:val="23"/>
                <w:szCs w:val="23"/>
              </w:rPr>
              <w:t xml:space="preserve">и ФСС, - отвечает заслуженный юрист России Владимир Кудрявцев. - В отношении увеличения пенсионных выплат в этих документах предусмотрены следующие данные: </w:t>
            </w:r>
          </w:p>
          <w:p w:rsidR="00AE320C" w:rsidRDefault="00AE320C" w:rsidP="002B09CE">
            <w:pPr>
              <w:pStyle w:val="Default"/>
              <w:rPr>
                <w:sz w:val="23"/>
                <w:szCs w:val="23"/>
              </w:rPr>
            </w:pPr>
            <w:r>
              <w:rPr>
                <w:sz w:val="23"/>
                <w:szCs w:val="23"/>
              </w:rPr>
              <w:t xml:space="preserve">С 1 января страховые пенсии неработающих пенсионеров увеличат на 4,8%. Да, это ниже инфляции, которая за 2022 год складывается на уровне 12-13 %, но депутаты и руководство страны учитывают, что инфляция возрастает не одномоментно, а постепенно, и предполагают, что по итогам полугодия будет продолжена практика второй индексации пенсий (так уже практиковалось в июне 2022 года) и тогда общий объем увеличения пенсии превысит размер инфляции. Минфин, который готовит законопроекты по финансам на 2023 год, уверяет, что высокая инфляция не помешает правительству исполнить свои обязательства перед пожилыми людьми. На 2023 год инфляция прогнозируется Центральным банком России в размере 5- 7%; </w:t>
            </w:r>
          </w:p>
          <w:p w:rsidR="00AE320C" w:rsidRDefault="00AE320C" w:rsidP="002B09CE">
            <w:pPr>
              <w:pStyle w:val="Default"/>
              <w:rPr>
                <w:sz w:val="23"/>
                <w:szCs w:val="23"/>
              </w:rPr>
            </w:pPr>
            <w:r>
              <w:rPr>
                <w:sz w:val="23"/>
                <w:szCs w:val="23"/>
              </w:rPr>
              <w:t xml:space="preserve">работающим пенсионерам индексирование не предусмотрено, такая практика продолжается уже семь лет и правительство пока не находит средств на эти цели. Но работающие пенсионеры не остаются без поддержки - перерасчет размера пенсии им производится в августе с учетом выплаченных работодателем страховых взносов. А в случае оставления работы их пенсии индексируются за все пропущенные годы, это более чем на 40%. Также законодательно установлено, что полностью проиндексированная пенсия прекратившему работу пенсионеру выплачивается уже со следующего месяца после увольнения, а не через три месяца, как было ранее; </w:t>
            </w:r>
          </w:p>
          <w:p w:rsidR="00AE320C" w:rsidRDefault="00AE320C" w:rsidP="002B09CE">
            <w:pPr>
              <w:pStyle w:val="Default"/>
              <w:rPr>
                <w:sz w:val="23"/>
                <w:szCs w:val="23"/>
              </w:rPr>
            </w:pPr>
            <w:r>
              <w:rPr>
                <w:sz w:val="23"/>
                <w:szCs w:val="23"/>
              </w:rPr>
              <w:t xml:space="preserve">социальные пенсии будут повышены с 1 апреля 2023 года на 3,3 % - согласно уровню прогнозного роста прожиточного минимума пенсионера; </w:t>
            </w:r>
          </w:p>
          <w:p w:rsidR="00AE320C" w:rsidRDefault="00AE320C" w:rsidP="002B09CE">
            <w:pPr>
              <w:pStyle w:val="Default"/>
              <w:rPr>
                <w:sz w:val="23"/>
                <w:szCs w:val="23"/>
              </w:rPr>
            </w:pPr>
            <w:r>
              <w:rPr>
                <w:sz w:val="23"/>
                <w:szCs w:val="23"/>
              </w:rPr>
              <w:t xml:space="preserve">с 1 октября 2023 года повысят пенсии военным пенсионерам, в том числе приравненным к ним категориям - пенсионерам ФСИН, МВД, </w:t>
            </w:r>
            <w:proofErr w:type="spellStart"/>
            <w:r>
              <w:rPr>
                <w:sz w:val="23"/>
                <w:szCs w:val="23"/>
              </w:rPr>
              <w:t>Росгвардии</w:t>
            </w:r>
            <w:proofErr w:type="spellEnd"/>
            <w:r>
              <w:rPr>
                <w:sz w:val="23"/>
                <w:szCs w:val="23"/>
              </w:rPr>
              <w:t xml:space="preserve">, МЧС и других ведомств. Выплаты увеличатся за счет индексации денежного довольствия (оклад, выслуга, звание) в соответствии с прогнозной инфляцией - на 10,5%. </w:t>
            </w:r>
          </w:p>
          <w:p w:rsidR="00AE320C" w:rsidRDefault="00AE320C" w:rsidP="002B09CE">
            <w:pPr>
              <w:pStyle w:val="Default"/>
              <w:rPr>
                <w:sz w:val="23"/>
                <w:szCs w:val="23"/>
              </w:rPr>
            </w:pPr>
            <w:r>
              <w:rPr>
                <w:sz w:val="23"/>
                <w:szCs w:val="23"/>
              </w:rPr>
              <w:t xml:space="preserve">К повышению страховой пенсии пенсионеров произведут и другие, помимо индексации, корректировки значений основных параметров, с помощью которых происходит начисление страховой пенсии: </w:t>
            </w:r>
          </w:p>
          <w:p w:rsidR="00AE320C" w:rsidRDefault="00AE320C" w:rsidP="002B09CE">
            <w:pPr>
              <w:pStyle w:val="Default"/>
              <w:rPr>
                <w:sz w:val="23"/>
                <w:szCs w:val="23"/>
              </w:rPr>
            </w:pPr>
            <w:r>
              <w:rPr>
                <w:sz w:val="23"/>
                <w:szCs w:val="23"/>
              </w:rPr>
              <w:t xml:space="preserve">1 января 2023 года стоимость пенсионного коэффициента (балла) по ФЗ-400 увеличится с 118,10 до 123,77 руб.; </w:t>
            </w:r>
          </w:p>
          <w:p w:rsidR="00AE320C" w:rsidRDefault="00AE320C" w:rsidP="002B09CE">
            <w:pPr>
              <w:pStyle w:val="Default"/>
              <w:rPr>
                <w:sz w:val="23"/>
                <w:szCs w:val="23"/>
              </w:rPr>
            </w:pPr>
            <w:r>
              <w:rPr>
                <w:sz w:val="23"/>
                <w:szCs w:val="23"/>
              </w:rPr>
              <w:t xml:space="preserve">величина фиксированной выплаты к пенсии по старости увеличится до 7567,34 руб. </w:t>
            </w:r>
          </w:p>
          <w:p w:rsidR="00AE320C" w:rsidRDefault="00AE320C" w:rsidP="002B09CE">
            <w:r>
              <w:rPr>
                <w:sz w:val="23"/>
                <w:szCs w:val="23"/>
              </w:rPr>
              <w:t>https://aif.ru/dontknows/society/kak_povysyat_pensii_v_2023_godu</w:t>
            </w:r>
          </w:p>
          <w:p w:rsidR="00AE320C" w:rsidRPr="006A14EF" w:rsidRDefault="00AE320C" w:rsidP="002B09CE">
            <w:pPr>
              <w:ind w:firstLine="540"/>
              <w:jc w:val="both"/>
              <w:rPr>
                <w:rFonts w:ascii="Times New Roman" w:hAnsi="Times New Roman" w:cs="Times New Roman"/>
                <w:color w:val="000000" w:themeColor="text1"/>
              </w:rPr>
            </w:pPr>
          </w:p>
        </w:tc>
      </w:tr>
      <w:tr w:rsidR="00AE320C" w:rsidTr="002B09CE">
        <w:tc>
          <w:tcPr>
            <w:tcW w:w="11199" w:type="dxa"/>
            <w:tcBorders>
              <w:top w:val="single" w:sz="4" w:space="0" w:color="auto"/>
              <w:left w:val="single" w:sz="4" w:space="0" w:color="auto"/>
              <w:bottom w:val="single" w:sz="4" w:space="0" w:color="auto"/>
              <w:right w:val="single" w:sz="4" w:space="0" w:color="auto"/>
            </w:tcBorders>
          </w:tcPr>
          <w:p w:rsidR="00AE320C" w:rsidRDefault="00AE320C" w:rsidP="002B09CE">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p>
          <w:p w:rsidR="00AE320C" w:rsidRPr="00D52B05" w:rsidRDefault="00AE320C" w:rsidP="002B09CE">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Калужская областная организация Профсоюза работников народного образования и науки РФ</w:t>
            </w:r>
          </w:p>
          <w:p w:rsidR="00AE320C" w:rsidRPr="00D52B05" w:rsidRDefault="00AE320C" w:rsidP="002B09CE">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 xml:space="preserve"> </w:t>
            </w:r>
            <w:proofErr w:type="spellStart"/>
            <w:r w:rsidRPr="00D52B05">
              <w:rPr>
                <w:rFonts w:ascii="Arial" w:hAnsi="Arial" w:cs="Arial"/>
                <w:b/>
                <w:bCs/>
                <w:sz w:val="16"/>
                <w:szCs w:val="16"/>
              </w:rPr>
              <w:t>Тел.факс</w:t>
            </w:r>
            <w:proofErr w:type="spellEnd"/>
            <w:r w:rsidRPr="00D52B05">
              <w:rPr>
                <w:rFonts w:ascii="Arial" w:hAnsi="Arial" w:cs="Arial"/>
                <w:b/>
                <w:bCs/>
                <w:sz w:val="16"/>
                <w:szCs w:val="16"/>
              </w:rPr>
              <w:t>: 57-64-</w:t>
            </w:r>
            <w:proofErr w:type="gramStart"/>
            <w:r w:rsidRPr="00D52B05">
              <w:rPr>
                <w:rFonts w:ascii="Arial" w:hAnsi="Arial" w:cs="Arial"/>
                <w:b/>
                <w:bCs/>
                <w:sz w:val="16"/>
                <w:szCs w:val="16"/>
              </w:rPr>
              <w:t xml:space="preserve">69,  </w:t>
            </w:r>
            <w:proofErr w:type="spellStart"/>
            <w:r w:rsidRPr="00D52B05">
              <w:rPr>
                <w:rFonts w:ascii="Arial" w:hAnsi="Arial" w:cs="Arial"/>
                <w:b/>
                <w:bCs/>
                <w:sz w:val="16"/>
                <w:szCs w:val="16"/>
                <w:lang w:val="en-US"/>
              </w:rPr>
              <w:t>prokaluga</w:t>
            </w:r>
            <w:proofErr w:type="spellEnd"/>
            <w:r w:rsidRPr="00D52B05">
              <w:rPr>
                <w:rFonts w:ascii="Arial" w:hAnsi="Arial" w:cs="Arial"/>
                <w:b/>
                <w:bCs/>
                <w:sz w:val="16"/>
                <w:szCs w:val="16"/>
              </w:rPr>
              <w:t>@</w:t>
            </w:r>
            <w:r w:rsidRPr="00D52B05">
              <w:rPr>
                <w:rFonts w:ascii="Arial" w:hAnsi="Arial" w:cs="Arial"/>
                <w:b/>
                <w:bCs/>
                <w:sz w:val="16"/>
                <w:szCs w:val="16"/>
                <w:lang w:val="en-US"/>
              </w:rPr>
              <w:t>mail</w:t>
            </w:r>
            <w:r w:rsidRPr="00D52B05">
              <w:rPr>
                <w:rFonts w:ascii="Arial" w:hAnsi="Arial" w:cs="Arial"/>
                <w:b/>
                <w:bCs/>
                <w:sz w:val="16"/>
                <w:szCs w:val="16"/>
              </w:rPr>
              <w:t>.</w:t>
            </w:r>
            <w:proofErr w:type="spellStart"/>
            <w:r w:rsidRPr="00D52B05">
              <w:rPr>
                <w:rFonts w:ascii="Arial" w:hAnsi="Arial" w:cs="Arial"/>
                <w:b/>
                <w:bCs/>
                <w:sz w:val="16"/>
                <w:szCs w:val="16"/>
                <w:lang w:val="en-US"/>
              </w:rPr>
              <w:t>ru</w:t>
            </w:r>
            <w:proofErr w:type="spellEnd"/>
            <w:proofErr w:type="gramEnd"/>
          </w:p>
          <w:p w:rsidR="00AE320C" w:rsidRPr="00D52B05" w:rsidRDefault="00AE320C" w:rsidP="002B09CE">
            <w:pPr>
              <w:pBdr>
                <w:top w:val="single" w:sz="4" w:space="1" w:color="auto"/>
                <w:left w:val="single" w:sz="4" w:space="4" w:color="auto"/>
                <w:bottom w:val="single" w:sz="4" w:space="1" w:color="auto"/>
                <w:right w:val="single" w:sz="4" w:space="4" w:color="auto"/>
              </w:pBdr>
              <w:tabs>
                <w:tab w:val="left" w:pos="6030"/>
              </w:tabs>
              <w:jc w:val="center"/>
              <w:rPr>
                <w:rFonts w:ascii="Arial" w:hAnsi="Arial" w:cs="Arial"/>
                <w:b/>
                <w:sz w:val="16"/>
                <w:szCs w:val="16"/>
              </w:rPr>
            </w:pPr>
            <w:r>
              <w:rPr>
                <w:rFonts w:ascii="Arial" w:hAnsi="Arial" w:cs="Arial"/>
                <w:b/>
                <w:sz w:val="16"/>
                <w:szCs w:val="16"/>
              </w:rPr>
              <w:t>Калуга, декабрь, 2022</w:t>
            </w:r>
          </w:p>
          <w:p w:rsidR="00AE320C" w:rsidRDefault="00AE320C" w:rsidP="002B09CE">
            <w:pPr>
              <w:pBdr>
                <w:top w:val="single" w:sz="4" w:space="1" w:color="auto"/>
                <w:left w:val="single" w:sz="4" w:space="4" w:color="auto"/>
                <w:bottom w:val="single" w:sz="4" w:space="1" w:color="auto"/>
                <w:right w:val="single" w:sz="4" w:space="4" w:color="auto"/>
              </w:pBdr>
              <w:tabs>
                <w:tab w:val="left" w:pos="6030"/>
              </w:tabs>
              <w:jc w:val="center"/>
              <w:rPr>
                <w:sz w:val="28"/>
                <w:szCs w:val="28"/>
              </w:rPr>
            </w:pPr>
            <w:hyperlink r:id="rId7" w:history="1">
              <w:r w:rsidRPr="00D52B05">
                <w:rPr>
                  <w:rStyle w:val="a4"/>
                  <w:color w:val="FF0000"/>
                  <w:sz w:val="16"/>
                  <w:szCs w:val="16"/>
                </w:rPr>
                <w:t>https://www.eseur.ru/kaluga/</w:t>
              </w:r>
            </w:hyperlink>
          </w:p>
        </w:tc>
      </w:tr>
    </w:tbl>
    <w:p w:rsidR="00AE320C" w:rsidRPr="00E051E0" w:rsidRDefault="00AE320C" w:rsidP="00AE320C">
      <w:pPr>
        <w:spacing w:after="0" w:line="240" w:lineRule="auto"/>
        <w:jc w:val="both"/>
        <w:rPr>
          <w:rFonts w:ascii="Times New Roman" w:eastAsia="Times New Roman" w:hAnsi="Times New Roman" w:cs="Times New Roman"/>
          <w:sz w:val="24"/>
          <w:szCs w:val="24"/>
          <w:lang w:eastAsia="ru-RU"/>
        </w:rPr>
      </w:pPr>
    </w:p>
    <w:p w:rsidR="00AE320C" w:rsidRDefault="00AE320C" w:rsidP="00AE320C"/>
    <w:p w:rsidR="00AE320C" w:rsidRDefault="00AE320C" w:rsidP="00AE320C"/>
    <w:p w:rsidR="00AE320C" w:rsidRDefault="00AE320C" w:rsidP="00AE320C"/>
    <w:p w:rsidR="00AE320C" w:rsidRDefault="00AE320C" w:rsidP="00AE320C"/>
    <w:p w:rsidR="00B47076" w:rsidRDefault="00B47076">
      <w:bookmarkStart w:id="0" w:name="_GoBack"/>
      <w:bookmarkEnd w:id="0"/>
    </w:p>
    <w:sectPr w:rsidR="00B47076" w:rsidSect="005D506E">
      <w:pgSz w:w="11906" w:h="16838"/>
      <w:pgMar w:top="426"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20C"/>
    <w:rsid w:val="00AE320C"/>
    <w:rsid w:val="00B47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8CAB2-CEF5-4F3D-B11D-BEED330AA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2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32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AE320C"/>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AE3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AE320C"/>
    <w:rPr>
      <w:color w:val="0000FF"/>
      <w:u w:val="single"/>
    </w:rPr>
  </w:style>
  <w:style w:type="paragraph" w:customStyle="1" w:styleId="ConsPlusTitlePage">
    <w:name w:val="ConsPlusTitlePage"/>
    <w:uiPriority w:val="99"/>
    <w:rsid w:val="00AE320C"/>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Default">
    <w:name w:val="Default"/>
    <w:rsid w:val="00AE320C"/>
    <w:pPr>
      <w:autoSpaceDE w:val="0"/>
      <w:autoSpaceDN w:val="0"/>
      <w:adjustRightInd w:val="0"/>
      <w:spacing w:after="0" w:line="240" w:lineRule="auto"/>
    </w:pPr>
    <w:rPr>
      <w:rFonts w:ascii="Calibri" w:hAnsi="Calibri" w:cs="Calibri"/>
      <w:color w:val="000000"/>
      <w:sz w:val="24"/>
      <w:szCs w:val="24"/>
    </w:rPr>
  </w:style>
  <w:style w:type="paragraph" w:styleId="a5">
    <w:name w:val="Balloon Text"/>
    <w:basedOn w:val="a"/>
    <w:link w:val="a6"/>
    <w:uiPriority w:val="99"/>
    <w:semiHidden/>
    <w:unhideWhenUsed/>
    <w:rsid w:val="00AE320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E32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seur.ru/kalug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seur.ru/kaluga/"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2022-12-14T05:47:00Z</cp:lastPrinted>
  <dcterms:created xsi:type="dcterms:W3CDTF">2022-12-14T05:47:00Z</dcterms:created>
  <dcterms:modified xsi:type="dcterms:W3CDTF">2022-12-14T05:48:00Z</dcterms:modified>
</cp:coreProperties>
</file>